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320FA85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194F5C">
        <w:rPr>
          <w:rFonts w:asciiTheme="minorHAnsi" w:hAnsiTheme="minorHAnsi" w:cstheme="minorHAnsi"/>
          <w:b/>
        </w:rPr>
        <w:t>4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2D0BB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1108BEC3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2D0BB9">
        <w:rPr>
          <w:rFonts w:asciiTheme="minorHAnsi" w:hAnsiTheme="minorHAnsi" w:cstheme="minorHAnsi"/>
          <w:lang w:eastAsia="pt-BR"/>
        </w:rPr>
        <w:t>E</w:t>
      </w:r>
      <w:r w:rsidR="00DD365D" w:rsidRPr="002D0BB9">
        <w:rPr>
          <w:rFonts w:asciiTheme="minorHAnsi" w:hAnsiTheme="minorHAnsi" w:cstheme="minorHAnsi"/>
          <w:lang w:eastAsia="pt-BR"/>
        </w:rPr>
        <w:t xml:space="preserve"> 0</w:t>
      </w:r>
      <w:r w:rsidR="002D0BB9" w:rsidRPr="002D0BB9">
        <w:rPr>
          <w:rFonts w:asciiTheme="minorHAnsi" w:hAnsiTheme="minorHAnsi" w:cstheme="minorHAnsi"/>
          <w:lang w:eastAsia="pt-BR"/>
        </w:rPr>
        <w:t>42</w:t>
      </w:r>
      <w:r w:rsidRPr="002D0BB9">
        <w:rPr>
          <w:rFonts w:asciiTheme="minorHAnsi" w:hAnsiTheme="minorHAnsi" w:cstheme="minorHAnsi"/>
          <w:lang w:eastAsia="pt-BR"/>
        </w:rPr>
        <w:t>/202</w:t>
      </w:r>
      <w:r w:rsidR="00B14296" w:rsidRPr="002D0BB9">
        <w:rPr>
          <w:rFonts w:asciiTheme="minorHAnsi" w:hAnsiTheme="minorHAnsi" w:cstheme="minorHAnsi"/>
          <w:lang w:eastAsia="pt-BR"/>
        </w:rPr>
        <w:t>3</w:t>
      </w:r>
      <w:r w:rsidRPr="002D0BB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</w:rPr>
      </w:pPr>
    </w:p>
    <w:p w14:paraId="5ABA0362" w14:textId="77777777" w:rsidR="00194F5C" w:rsidRPr="00194F5C" w:rsidRDefault="00194F5C" w:rsidP="00194F5C">
      <w:pPr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Planilha de Custos:</w:t>
      </w:r>
    </w:p>
    <w:p w14:paraId="2D209B0C" w14:textId="77777777" w:rsidR="00194F5C" w:rsidRPr="00194F5C" w:rsidRDefault="00194F5C" w:rsidP="00194F5C">
      <w:pPr>
        <w:suppressAutoHyphens w:val="0"/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a-) será</w:t>
      </w: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solicitado apenas pelo licitante vencedor? Ou deverá ser apresentado por todos? </w:t>
      </w:r>
    </w:p>
    <w:p w14:paraId="56E8EA08" w14:textId="77777777" w:rsidR="00194F5C" w:rsidRPr="00194F5C" w:rsidRDefault="00194F5C" w:rsidP="00194F5C">
      <w:pPr>
        <w:suppressAutoHyphens w:val="0"/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Resposta:  </w:t>
      </w:r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Deverá ser apresentada por todos, conforme edital.</w:t>
      </w:r>
    </w:p>
    <w:p w14:paraId="40672A78" w14:textId="77777777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b-) </w:t>
      </w: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A licitante poderá utilizar seu padrão de planilha de custos? Ou deverá utilizar o padrão do contratante? Caso deva utilizar o padrão do contratante, poderiam nos encaminhar planilha em formato </w:t>
      </w:r>
      <w:proofErr w:type="spellStart"/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excel</w:t>
      </w:r>
      <w:proofErr w:type="spellEnd"/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? </w:t>
      </w:r>
    </w:p>
    <w:p w14:paraId="50D51735" w14:textId="77777777" w:rsidR="00194F5C" w:rsidRPr="00194F5C" w:rsidRDefault="00194F5C" w:rsidP="00194F5C">
      <w:pPr>
        <w:suppressAutoHyphens w:val="0"/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Resposta:</w:t>
      </w:r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A licitante deverá apresentar modelo padrão de planilha de custo e formação de preço, conforme previsto no edital. Não serão disponibilizadas planilhas em formato </w:t>
      </w:r>
      <w:proofErr w:type="spellStart"/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excel</w:t>
      </w:r>
      <w:proofErr w:type="spellEnd"/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para os licitantes. </w:t>
      </w:r>
    </w:p>
    <w:p w14:paraId="19E82F63" w14:textId="5238D66B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c-) </w:t>
      </w: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os itens uniformes e </w:t>
      </w:r>
      <w:proofErr w:type="spellStart"/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epi</w:t>
      </w:r>
      <w:r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’</w:t>
      </w: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s</w:t>
      </w:r>
      <w:proofErr w:type="spellEnd"/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e transporte, o licitante poderá apenas declarar em sua planilha que irá utilizar os de sua propriedade, isentando a Contratante de tal custo, com fulcro no § 3º, Art. 44, da Lei 8.666/93?  </w:t>
      </w:r>
    </w:p>
    <w:p w14:paraId="7B6EA85A" w14:textId="593CC840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Resposta:</w:t>
      </w:r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 Ainda que a licitante afirme utilizar os uniformes, </w:t>
      </w:r>
      <w:proofErr w:type="spellStart"/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epi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’</w:t>
      </w:r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s</w:t>
      </w:r>
      <w:proofErr w:type="spellEnd"/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e transporte de sua propriedade e ainda que o § 3º, Art. 44, da Lei 8.666/93 admita que a empresa renuncie a parcela ou à totalidade da remuneração referente a materiais e instalações de propriedade do próprio licitante, o entendimento é que os itens em questão inevitavelmente geram um custo à empresa, desta forma, tais custos deverão constar na planilha. A mera declaração da licitante nesse sentido não supre as exigências do edital.</w:t>
      </w:r>
    </w:p>
    <w:p w14:paraId="5F3D7829" w14:textId="77777777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d-)</w:t>
      </w: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os itens variáveis, tais como, licença maternidade/paternidade, faltas legais, aviso prévio, </w:t>
      </w:r>
      <w:proofErr w:type="spellStart"/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etc</w:t>
      </w:r>
      <w:proofErr w:type="spellEnd"/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, poderá ser aplicado o percentual de provisão de acordo com a experiência/estratégia/peculiaridade da empresa? ou a administração tem algum percentual mínimo para aferir como exequível a planilha de custos?  </w:t>
      </w:r>
    </w:p>
    <w:p w14:paraId="54379349" w14:textId="77777777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Resposta:</w:t>
      </w:r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Esclarecemos que tal composição de custos deverá estar de acordo com o estipulado na Convenção Coletiva de Trabalho – CCT vigente para tais provimentos e deverá estar na Planilha de Custo. É de competência das licitantes o encaminhamento da proposta comercial com inclusão de todos os tributos e encargos sociais, bem como de quaisquer outros ônus que porventura possam recair sobre o fornecimento do objeto do certame, além disso é de sua responsabilidade cumprir a legislação vigente, assim como, as disposições da Consolidação das Leis do Trabalho - CLT e das Convenções Coletivas de Trabalho.</w:t>
      </w:r>
    </w:p>
    <w:p w14:paraId="731A41EA" w14:textId="77777777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515FAB83" w14:textId="77777777" w:rsidR="00194F5C" w:rsidRPr="00194F5C" w:rsidRDefault="00194F5C" w:rsidP="00194F5C">
      <w:pPr>
        <w:shd w:val="clear" w:color="auto" w:fill="FFFFFF"/>
        <w:suppressAutoHyphens w:val="0"/>
        <w:spacing w:after="160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 xml:space="preserve">e) qual </w:t>
      </w:r>
      <w:proofErr w:type="gramStart"/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salário base e benefícios deverá</w:t>
      </w:r>
      <w:proofErr w:type="gramEnd"/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 xml:space="preserve"> ser utilizado? Qual sindicato deverá ser utilizado? </w:t>
      </w:r>
    </w:p>
    <w:p w14:paraId="5E43A405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2835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eastAsia="pt-BR"/>
        </w:rPr>
        <w:t>Segundo o acórdão nº 2.601/20 do Plenário do TCU, é imprópria a “exigência de que as propostas indiquem os sindicatos, acordos coletivos, convenções coletivas ou sentenças normativas que regem as categorias profissionais que executarão o serviço, em vez de considerar o enquadramento pela atividade econômica preponderante do empregador” </w:t>
      </w:r>
    </w:p>
    <w:p w14:paraId="63F82F14" w14:textId="77777777" w:rsidR="00194F5C" w:rsidRPr="00194F5C" w:rsidRDefault="00194F5C" w:rsidP="00194F5C">
      <w:pPr>
        <w:shd w:val="clear" w:color="auto" w:fill="FFFFFF"/>
        <w:suppressAutoHyphens w:val="0"/>
        <w:spacing w:after="16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> </w:t>
      </w:r>
    </w:p>
    <w:p w14:paraId="4332F53F" w14:textId="77777777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lastRenderedPageBreak/>
        <w:t>Resposta</w:t>
      </w:r>
      <w:r w:rsidRPr="00194F5C"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  <w14:ligatures w14:val="standardContextual"/>
        </w:rPr>
        <w:t xml:space="preserve">: </w:t>
      </w:r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Segundo o acórdão nº 2.601/20 do Plenário do TCU, é imprópria a “exigência de que as propostas indiquem os sindicatos, acordos coletivos, convenções coletivas ou sentenças normativas que regem as categorias profissionais que executarão o serviço, em vez de considerar o enquadramento pela atividade econômica preponderante do empregador”. Portanto, a licitante deverá observar o salário base e benefícios dos empregados de acordo com a Convenção Coletiva de Trabalho vigente relativa à sua atividade econômica.</w:t>
      </w:r>
    </w:p>
    <w:p w14:paraId="14F749B5" w14:textId="77777777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/>
          <w:color w:val="FF0000"/>
          <w:kern w:val="2"/>
          <w:sz w:val="22"/>
          <w:szCs w:val="22"/>
          <w:lang w:eastAsia="en-US"/>
          <w14:ligatures w14:val="standardContextual"/>
        </w:rPr>
      </w:pPr>
    </w:p>
    <w:p w14:paraId="6DD353BB" w14:textId="77777777" w:rsidR="00194F5C" w:rsidRPr="00194F5C" w:rsidRDefault="00194F5C" w:rsidP="00194F5C">
      <w:pPr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 w:cs="Calibri"/>
          <w:b/>
          <w:bCs/>
          <w:color w:val="222222"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Os documentos de credenciamento, habilitação e proposta poderão ser assinados de forma digital conforme determina a Lei </w:t>
      </w:r>
      <w:hyperlink r:id="rId8" w:tgtFrame="_blank" w:history="1">
        <w:r w:rsidRPr="00194F5C">
          <w:rPr>
            <w:rFonts w:ascii="Calibri" w:eastAsia="Calibri" w:hAnsi="Calibri" w:cs="Calibri"/>
            <w:b/>
            <w:bCs/>
            <w:color w:val="1155CC"/>
            <w:kern w:val="2"/>
            <w:sz w:val="22"/>
            <w:szCs w:val="22"/>
            <w:u w:val="single"/>
            <w:lang w:eastAsia="en-US"/>
            <w14:ligatures w14:val="standardContextual"/>
          </w:rPr>
          <w:t>2200-2 (planalto.gov.br)</w:t>
        </w:r>
      </w:hyperlink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 ?</w:t>
      </w: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 </w:t>
      </w:r>
    </w:p>
    <w:p w14:paraId="5F4028DD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3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Resposta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: 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>Sim, será possível a aceitação de documentos com assinatura digital, conferindo-se a possibilidade de verificação de autenticidade pela Pregoeira.</w:t>
      </w:r>
    </w:p>
    <w:p w14:paraId="3B6C90E9" w14:textId="77777777" w:rsidR="00194F5C" w:rsidRPr="00194F5C" w:rsidRDefault="00194F5C" w:rsidP="00194F5C">
      <w:pPr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color w:val="FF0000"/>
          <w:kern w:val="2"/>
          <w:sz w:val="22"/>
          <w:szCs w:val="22"/>
          <w:lang w:eastAsia="en-US"/>
          <w14:ligatures w14:val="standardContextual"/>
        </w:rPr>
      </w:pPr>
    </w:p>
    <w:p w14:paraId="4F000054" w14:textId="77777777" w:rsidR="00194F5C" w:rsidRPr="00194F5C" w:rsidRDefault="00194F5C" w:rsidP="00194F5C">
      <w:pPr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highlight w:val="yellow"/>
          <w:shd w:val="clear" w:color="auto" w:fill="FFFFFF"/>
          <w:lang w:eastAsia="en-US"/>
          <w14:ligatures w14:val="standardContextual"/>
        </w:rPr>
      </w:pPr>
      <w:r w:rsidRPr="00194F5C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highlight w:val="yellow"/>
          <w:shd w:val="clear" w:color="auto" w:fill="FFFFFF"/>
          <w:lang w:eastAsia="en-US"/>
          <w14:ligatures w14:val="standardContextual"/>
        </w:rPr>
        <w:t xml:space="preserve">Quais materiais deverão ser fornecidos? </w:t>
      </w:r>
    </w:p>
    <w:p w14:paraId="4E196D82" w14:textId="77777777" w:rsidR="00194F5C" w:rsidRPr="00194F5C" w:rsidRDefault="00194F5C" w:rsidP="00194F5C">
      <w:pPr>
        <w:suppressAutoHyphens w:val="0"/>
        <w:spacing w:after="160" w:line="259" w:lineRule="auto"/>
        <w:ind w:left="720"/>
        <w:contextualSpacing/>
        <w:rPr>
          <w:rFonts w:ascii="Calibri" w:eastAsia="Calibr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</w:p>
    <w:p w14:paraId="408AE9A5" w14:textId="0BDB25FB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Resposta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>: Conforme previstos no item III. I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>n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>sumos do modelo de planilha de custos e formação de preço, a licitante deverá fornecer todos os materiais necessários para o exercício de cada atividade contratada, para atendimento da legislação trabalhista.</w:t>
      </w:r>
    </w:p>
    <w:p w14:paraId="2C323B7B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  </w:t>
      </w:r>
      <w:r w:rsidRPr="00194F5C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</w:t>
      </w:r>
    </w:p>
    <w:p w14:paraId="1E209DAD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3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3.1 Quais insumos deverão ser fornecidos? </w:t>
      </w:r>
    </w:p>
    <w:p w14:paraId="644DADF8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Resposta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>: Conforme edital, previstos no item III. Insumos do modelo de planilha de custos e formação de preço.</w:t>
      </w:r>
    </w:p>
    <w:p w14:paraId="1317DECF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</w:pPr>
    </w:p>
    <w:p w14:paraId="15CB6B44" w14:textId="77777777" w:rsidR="00194F5C" w:rsidRPr="00194F5C" w:rsidRDefault="00194F5C" w:rsidP="00194F5C">
      <w:pPr>
        <w:numPr>
          <w:ilvl w:val="1"/>
          <w:numId w:val="31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Quais equipamentos deverão ser fornecidos?</w:t>
      </w:r>
    </w:p>
    <w:p w14:paraId="37DECECB" w14:textId="714CC2C8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Resposta: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 Conforme previstos no item III. I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>n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sumos do modelo de planilha de custos e formação de preço, a licitante deverá fornecer todos os equipamentos necessários para o exercício de cada atividade contratada, em caso de exigência legal, para atendimento da legislação trabalhista. </w:t>
      </w:r>
    </w:p>
    <w:p w14:paraId="79B01956" w14:textId="77777777" w:rsidR="00194F5C" w:rsidRPr="00194F5C" w:rsidRDefault="00194F5C" w:rsidP="00194F5C">
      <w:pPr>
        <w:suppressAutoHyphens w:val="0"/>
        <w:spacing w:after="160" w:line="259" w:lineRule="auto"/>
        <w:ind w:left="360"/>
        <w:jc w:val="both"/>
        <w:rPr>
          <w:rFonts w:ascii="Calibri" w:eastAsia="Calibri" w:hAnsi="Calibri"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          Quanto ao fornecimento de equipamentos de infraestrutura necessária à execução dos serviços, tais como disponibilidade de computadores, telefones, linhas telefônicas e internet, estes são de responsabilidades do contratante.</w:t>
      </w:r>
    </w:p>
    <w:p w14:paraId="73C8DF0A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</w:p>
    <w:p w14:paraId="7C218AED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 xml:space="preserve">        </w:t>
      </w: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3.3 Quais uniformes e EPIs deverão ser fornecidos? </w:t>
      </w:r>
    </w:p>
    <w:p w14:paraId="2DDB8F86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         </w:t>
      </w: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Resposta: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  Conforme item 8.2 do Termo de Referência. Com relação aos equipamentos de EPI, a licitante deverá fornecer todos os equipamentos de EPI obrigatórios para o exercício de cada atividade contratada, em caso de exigência legal, para atendimento da legislação trabalhista. </w:t>
      </w:r>
    </w:p>
    <w:p w14:paraId="5B1DD108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</w:pPr>
    </w:p>
    <w:p w14:paraId="21E91971" w14:textId="77777777" w:rsidR="00194F5C" w:rsidRPr="00194F5C" w:rsidRDefault="00194F5C" w:rsidP="00194F5C">
      <w:pPr>
        <w:numPr>
          <w:ilvl w:val="0"/>
          <w:numId w:val="31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O objeto já vem sendo executado por alguma empresa? Qual empresa? Poderá ser aproveitado a mesma mão de obra? </w:t>
      </w:r>
    </w:p>
    <w:p w14:paraId="0681CF5C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lastRenderedPageBreak/>
        <w:t> </w:t>
      </w: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Resposta: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  Sim. Empresa Impacto. Sim, de acordo com a legislação trabalhista.</w:t>
      </w:r>
    </w:p>
    <w:p w14:paraId="3CFC9E97" w14:textId="77777777" w:rsidR="00194F5C" w:rsidRPr="00194F5C" w:rsidRDefault="00194F5C" w:rsidP="00194F5C">
      <w:pPr>
        <w:numPr>
          <w:ilvl w:val="0"/>
          <w:numId w:val="31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Qual alíquota de ISS para o objeto? </w:t>
      </w:r>
    </w:p>
    <w:p w14:paraId="425CDA1A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3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Resposta: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   Vide Código Tributário Municipal, LEI Nº 2597, DE 30/09/2008.</w:t>
      </w:r>
    </w:p>
    <w:p w14:paraId="7F27E9B7" w14:textId="77777777" w:rsidR="00194F5C" w:rsidRPr="00194F5C" w:rsidRDefault="00194F5C" w:rsidP="00194F5C">
      <w:pPr>
        <w:numPr>
          <w:ilvl w:val="0"/>
          <w:numId w:val="31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Qual tarifa transporte público do município?</w:t>
      </w:r>
    </w:p>
    <w:p w14:paraId="393DFC41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t-BR"/>
        </w:rPr>
        <w:t>Resposta:</w:t>
      </w:r>
      <w:r w:rsidRPr="00194F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t-BR"/>
        </w:rPr>
        <w:t xml:space="preserve"> R$ 4,45 (quatro reais e quarenta e cinco centavos)</w:t>
      </w:r>
    </w:p>
    <w:p w14:paraId="1A031D50" w14:textId="77777777" w:rsidR="00194F5C" w:rsidRPr="00194F5C" w:rsidRDefault="00194F5C" w:rsidP="00194F5C">
      <w:pPr>
        <w:numPr>
          <w:ilvl w:val="0"/>
          <w:numId w:val="31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color w:val="000000"/>
          <w:sz w:val="22"/>
          <w:szCs w:val="22"/>
          <w:highlight w:val="yellow"/>
          <w:shd w:val="clear" w:color="auto" w:fill="FFFFFF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000000"/>
          <w:sz w:val="22"/>
          <w:szCs w:val="22"/>
          <w:highlight w:val="yellow"/>
          <w:shd w:val="clear" w:color="auto" w:fill="FFFFFF"/>
          <w:lang w:eastAsia="pt-BR"/>
        </w:rPr>
        <w:t>Para atendimento do edital, atestado de execução de serviço de característica semelhante ao objeto, entende-se como comprovação de habilidade da licitante em gestão de mão de obra com fulcro no ACÓRDÃO 553/2016 do PLENÁRIO, correto? Abaixo acórdão. </w:t>
      </w:r>
    </w:p>
    <w:p w14:paraId="0488356C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2835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pt-BR"/>
        </w:rPr>
        <w:t>“1.7.1. </w:t>
      </w:r>
      <w:r w:rsidRPr="00194F5C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eastAsia="pt-BR"/>
        </w:rPr>
        <w:t>nos certames para contratar serviços terceirizados, em regra, os atestados de capacidade técnica devem comprovar a habilidade da licitante em gestão de mão de obra, e não a aptidão relativa à atividade a ser contratada</w:t>
      </w:r>
      <w:r w:rsidRPr="00194F5C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pt-BR"/>
        </w:rPr>
        <w:t>” </w:t>
      </w:r>
    </w:p>
    <w:p w14:paraId="78761BEA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2835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/>
        </w:rPr>
        <w:t>Conforme Súmula n°30 – TCE-SP, em procedimento licitatório, para aferição da capacitação técnica poderão ser exigidos atestados de execução de obras e/ou serviços de forma genérica, vedado o estabelecimento de apresentação de prova de experiência anterior em atividade específica, como realização de rodovias, edificação de presídios, de escolas, de hospitais, e outros itens” </w:t>
      </w:r>
    </w:p>
    <w:p w14:paraId="36499400" w14:textId="390A22D7" w:rsidR="00194F5C" w:rsidRP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 w:cs="Calibri"/>
          <w:b/>
          <w:bCs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194F5C">
        <w:rPr>
          <w:rFonts w:ascii="Calibri" w:eastAsia="Calibri" w:hAnsi="Calibri" w:cs="Calibri"/>
          <w:b/>
          <w:bCs/>
          <w:color w:val="222222"/>
          <w:kern w:val="2"/>
          <w:sz w:val="22"/>
          <w:szCs w:val="22"/>
          <w:lang w:eastAsia="en-US"/>
          <w14:ligatures w14:val="standardContextual"/>
        </w:rPr>
        <w:t xml:space="preserve">Resposta: </w:t>
      </w:r>
      <w:r w:rsidR="000B38A2">
        <w:rPr>
          <w:rFonts w:ascii="Calibri" w:eastAsia="Calibri" w:hAnsi="Calibri" w:cs="Calibri"/>
          <w:b/>
          <w:bCs/>
          <w:color w:val="222222"/>
          <w:kern w:val="2"/>
          <w:sz w:val="22"/>
          <w:szCs w:val="22"/>
          <w:lang w:eastAsia="en-US"/>
          <w14:ligatures w14:val="standardContextual"/>
        </w:rPr>
        <w:t>ERRATA pulicada no COMPRASNET, como sairá publicada amanhã dia 22/11/2023 nos jornais A Tribuna, O Dia, DOERJ e no site www.niteroi.rj.gov.br</w:t>
      </w:r>
    </w:p>
    <w:p w14:paraId="353C7119" w14:textId="77777777" w:rsidR="00194F5C" w:rsidRDefault="00194F5C" w:rsidP="00194F5C">
      <w:pPr>
        <w:suppressAutoHyphens w:val="0"/>
        <w:spacing w:after="160" w:line="259" w:lineRule="auto"/>
        <w:jc w:val="both"/>
        <w:rPr>
          <w:rFonts w:ascii="Calibri" w:eastAsia="Calibri" w:hAnsi="Calibri" w:cs="Calibri"/>
          <w:b/>
          <w:bCs/>
          <w:color w:val="222222"/>
          <w:kern w:val="2"/>
          <w:sz w:val="22"/>
          <w:szCs w:val="22"/>
          <w:lang w:eastAsia="en-US"/>
          <w14:ligatures w14:val="standardContextual"/>
        </w:rPr>
      </w:pPr>
    </w:p>
    <w:p w14:paraId="0922F04C" w14:textId="77777777" w:rsidR="00194F5C" w:rsidRPr="00194F5C" w:rsidRDefault="00194F5C" w:rsidP="00194F5C">
      <w:pPr>
        <w:numPr>
          <w:ilvl w:val="0"/>
          <w:numId w:val="32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Deverá ser provisionado insalubridade? Qual grau?             </w:t>
      </w:r>
    </w:p>
    <w:p w14:paraId="1C6948D0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 xml:space="preserve">Resposta: </w:t>
      </w:r>
      <w:r w:rsidRPr="00194F5C">
        <w:rPr>
          <w:rFonts w:eastAsia="Times New Roman"/>
          <w:lang w:eastAsia="pt-BR"/>
        </w:rPr>
        <w:t>A licitante deverá seguir a sua Convenção Coletiva de Trabalho da qual os empregados da categoria estão submetidos.</w:t>
      </w:r>
    </w:p>
    <w:p w14:paraId="0E1B05B1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</w:p>
    <w:p w14:paraId="3DB61EA2" w14:textId="77777777" w:rsidR="00194F5C" w:rsidRPr="00194F5C" w:rsidRDefault="00194F5C" w:rsidP="00194F5C">
      <w:pPr>
        <w:numPr>
          <w:ilvl w:val="0"/>
          <w:numId w:val="32"/>
        </w:numPr>
        <w:shd w:val="clear" w:color="auto" w:fill="FFFFFF"/>
        <w:suppressAutoHyphens w:val="0"/>
        <w:spacing w:after="160" w:line="259" w:lineRule="auto"/>
        <w:jc w:val="both"/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pt-BR"/>
        </w:rPr>
        <w:t>Considerando que os dias úteis do mês podem variar de 18 a 22 dias, conforme feriados, pontos facultativos e folgas, a empresa poderá utilizar média de 20 dias úteis para calcular provisão de alimentação e transporte? </w:t>
      </w:r>
    </w:p>
    <w:p w14:paraId="0EC203B2" w14:textId="125E00CA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mbria" w:eastAsia="Times New Roman" w:hAnsi="Cambria" w:cs="Calibri"/>
          <w:color w:val="000000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 xml:space="preserve">Resposta:  </w:t>
      </w:r>
      <w:r>
        <w:rPr>
          <w:rFonts w:eastAsia="Times New Roman"/>
          <w:lang w:eastAsia="pt-BR"/>
        </w:rPr>
        <w:t>A licitante deverá cumprir integralmente com os dispositivos legais da legislação trabalhista, correspondente ao tema.</w:t>
      </w:r>
    </w:p>
    <w:p w14:paraId="44148B25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360"/>
        <w:jc w:val="both"/>
        <w:rPr>
          <w:rFonts w:ascii="Cambria" w:eastAsia="Times New Roman" w:hAnsi="Cambria" w:cs="Calibri"/>
          <w:color w:val="000000"/>
          <w:sz w:val="22"/>
          <w:szCs w:val="22"/>
          <w:lang w:eastAsia="pt-BR"/>
        </w:rPr>
      </w:pPr>
    </w:p>
    <w:p w14:paraId="632AEF38" w14:textId="77777777" w:rsidR="00194F5C" w:rsidRPr="00194F5C" w:rsidRDefault="00194F5C" w:rsidP="00194F5C">
      <w:pPr>
        <w:shd w:val="clear" w:color="auto" w:fill="FFFFFF"/>
        <w:suppressAutoHyphens w:val="0"/>
        <w:spacing w:after="160"/>
        <w:ind w:left="360"/>
        <w:jc w:val="both"/>
        <w:rPr>
          <w:rFonts w:ascii="Cambria" w:eastAsia="Times New Roman" w:hAnsi="Cambria" w:cs="Calibri"/>
          <w:color w:val="000000"/>
          <w:sz w:val="22"/>
          <w:szCs w:val="22"/>
          <w:lang w:eastAsia="pt-BR"/>
        </w:rPr>
      </w:pPr>
    </w:p>
    <w:p w14:paraId="01281CF3" w14:textId="77777777" w:rsidR="00194F5C" w:rsidRPr="00194F5C" w:rsidRDefault="00194F5C" w:rsidP="00194F5C">
      <w:pPr>
        <w:numPr>
          <w:ilvl w:val="0"/>
          <w:numId w:val="32"/>
        </w:numPr>
        <w:shd w:val="clear" w:color="auto" w:fill="FFFFFF"/>
        <w:suppressAutoHyphens w:val="0"/>
        <w:spacing w:after="160" w:line="259" w:lineRule="auto"/>
        <w:jc w:val="both"/>
        <w:rPr>
          <w:rFonts w:ascii="Cambria" w:eastAsia="Times New Roman" w:hAnsi="Cambria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 w:rsidRPr="00194F5C">
        <w:rPr>
          <w:rFonts w:ascii="Cambria" w:eastAsia="Times New Roman" w:hAnsi="Cambria"/>
          <w:b/>
          <w:bCs/>
          <w:color w:val="000000"/>
          <w:sz w:val="22"/>
          <w:szCs w:val="22"/>
          <w:shd w:val="clear" w:color="auto" w:fill="FFFFFF"/>
          <w:lang w:eastAsia="pt-BR"/>
        </w:rPr>
        <w:t>Lance será por valor unitário? Mensal? Ou anual? </w:t>
      </w:r>
    </w:p>
    <w:p w14:paraId="7AEB5570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color w:val="000000"/>
          <w:sz w:val="22"/>
          <w:szCs w:val="22"/>
          <w:lang w:eastAsia="pt-BR"/>
        </w:rPr>
        <w:t xml:space="preserve">    </w:t>
      </w: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Resposta:</w:t>
      </w:r>
      <w:r w:rsidRPr="00194F5C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conforme edital.</w:t>
      </w:r>
    </w:p>
    <w:p w14:paraId="3139AE9D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</w:p>
    <w:p w14:paraId="0CEC84E5" w14:textId="77777777" w:rsidR="00194F5C" w:rsidRPr="00194F5C" w:rsidRDefault="00194F5C" w:rsidP="00194F5C">
      <w:pPr>
        <w:numPr>
          <w:ilvl w:val="0"/>
          <w:numId w:val="32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pt-BR"/>
        </w:rPr>
        <w:lastRenderedPageBreak/>
        <w:t>lance será por item ou para todos os itens? </w:t>
      </w:r>
    </w:p>
    <w:p w14:paraId="68B30015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eastAsia="Times New Roman"/>
          <w:lang w:eastAsia="pt-BR"/>
        </w:rPr>
      </w:pPr>
      <w:r w:rsidRPr="00194F5C">
        <w:rPr>
          <w:rFonts w:ascii="Cambria" w:eastAsia="Times New Roman" w:hAnsi="Cambria" w:cs="Calibri"/>
          <w:color w:val="000000"/>
          <w:sz w:val="22"/>
          <w:szCs w:val="22"/>
          <w:lang w:eastAsia="pt-BR"/>
        </w:rPr>
        <w:t xml:space="preserve">    </w:t>
      </w: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Resposta:</w:t>
      </w:r>
      <w:r w:rsidRPr="00194F5C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Conforme edital</w:t>
      </w:r>
      <w:r w:rsidRPr="00194F5C">
        <w:rPr>
          <w:rFonts w:eastAsia="Times New Roman"/>
          <w:lang w:eastAsia="pt-BR"/>
        </w:rPr>
        <w:t>.</w:t>
      </w:r>
    </w:p>
    <w:p w14:paraId="36171CFE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</w:p>
    <w:p w14:paraId="2FBFFD50" w14:textId="77777777" w:rsidR="00194F5C" w:rsidRPr="00194F5C" w:rsidRDefault="00194F5C" w:rsidP="00194F5C">
      <w:pPr>
        <w:numPr>
          <w:ilvl w:val="0"/>
          <w:numId w:val="32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pt-BR"/>
        </w:rPr>
        <w:t xml:space="preserve"> Qual quantidade de mão de obra por cargo? </w:t>
      </w:r>
    </w:p>
    <w:p w14:paraId="7365B303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color w:val="000000"/>
          <w:sz w:val="22"/>
          <w:szCs w:val="22"/>
          <w:lang w:eastAsia="pt-BR"/>
        </w:rPr>
        <w:t>  </w:t>
      </w: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Resposta:</w:t>
      </w:r>
      <w:r w:rsidRPr="00194F5C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conforme edital.</w:t>
      </w:r>
    </w:p>
    <w:p w14:paraId="1F9168D6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</w:p>
    <w:p w14:paraId="286F9F34" w14:textId="77777777" w:rsidR="00194F5C" w:rsidRPr="00194F5C" w:rsidRDefault="00194F5C" w:rsidP="00194F5C">
      <w:pPr>
        <w:numPr>
          <w:ilvl w:val="0"/>
          <w:numId w:val="32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pt-BR"/>
        </w:rPr>
        <w:t>Qual horário de trabalho diário, semanal e mensal por cargo? </w:t>
      </w:r>
    </w:p>
    <w:p w14:paraId="5D3B4FFA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color w:val="000000"/>
          <w:sz w:val="22"/>
          <w:szCs w:val="22"/>
          <w:lang w:eastAsia="pt-BR"/>
        </w:rPr>
        <w:t>  </w:t>
      </w: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Resposta:</w:t>
      </w:r>
      <w:r w:rsidRPr="00194F5C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conforme item 3.1 do Termo de referência.</w:t>
      </w:r>
    </w:p>
    <w:p w14:paraId="47780B9A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</w:p>
    <w:p w14:paraId="6361EE5B" w14:textId="77777777" w:rsidR="00194F5C" w:rsidRPr="00194F5C" w:rsidRDefault="00194F5C" w:rsidP="00194F5C">
      <w:pPr>
        <w:numPr>
          <w:ilvl w:val="0"/>
          <w:numId w:val="32"/>
        </w:numPr>
        <w:shd w:val="clear" w:color="auto" w:fill="FFFFFF"/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pt-BR"/>
        </w:rPr>
        <w:t xml:space="preserve"> o intervalo para almoço deverá ser indenizado ou será usufruído? </w:t>
      </w:r>
    </w:p>
    <w:p w14:paraId="3F0209FA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  <w:r w:rsidRPr="00194F5C">
        <w:rPr>
          <w:rFonts w:ascii="Cambria" w:eastAsia="Times New Roman" w:hAnsi="Cambria" w:cs="Calibri"/>
          <w:color w:val="000000"/>
          <w:sz w:val="22"/>
          <w:szCs w:val="22"/>
          <w:lang w:eastAsia="pt-BR"/>
        </w:rPr>
        <w:t>  </w:t>
      </w:r>
      <w:r w:rsidRPr="00194F5C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Resposta:</w:t>
      </w:r>
      <w:r w:rsidRPr="00194F5C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usufruído, conforme edital.</w:t>
      </w:r>
    </w:p>
    <w:p w14:paraId="4C458B65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</w:p>
    <w:p w14:paraId="230177C9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194F5C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0A5D288C" w14:textId="77777777" w:rsidR="00194F5C" w:rsidRPr="00194F5C" w:rsidRDefault="00194F5C" w:rsidP="00194F5C">
      <w:pPr>
        <w:shd w:val="clear" w:color="auto" w:fill="FFFFFF"/>
        <w:suppressAutoHyphens w:val="0"/>
        <w:spacing w:after="160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</w:pPr>
    </w:p>
    <w:p w14:paraId="2E5D875B" w14:textId="77777777" w:rsidR="001367E7" w:rsidRPr="002D0BB9" w:rsidRDefault="001367E7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2D0BB9" w:rsidRDefault="00F565F5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2D0BB9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2D0BB9" w:rsidRDefault="00F565F5" w:rsidP="002D0BB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AD11280" w14:textId="2C0952E6" w:rsidR="00A33B65" w:rsidRPr="002D0BB9" w:rsidRDefault="00525A69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b/>
        </w:rPr>
        <w:t>Secretaria Municipal de A</w:t>
      </w:r>
      <w:r w:rsidR="002D0BB9">
        <w:rPr>
          <w:rFonts w:asciiTheme="minorHAnsi" w:hAnsiTheme="minorHAnsi" w:cstheme="minorHAnsi"/>
          <w:b/>
        </w:rPr>
        <w:t>dministração</w:t>
      </w:r>
      <w:r w:rsidR="00A33B65" w:rsidRPr="002D0BB9">
        <w:rPr>
          <w:rFonts w:asciiTheme="minorHAnsi" w:hAnsiTheme="minorHAnsi" w:cstheme="minorHAnsi"/>
          <w:lang w:eastAsia="pt-BR"/>
        </w:rPr>
        <w:tab/>
      </w:r>
    </w:p>
    <w:sectPr w:rsidR="00A33B65" w:rsidRPr="002D0BB9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35BFA876" w14:textId="3A8BA686" w:rsidR="00AA2955" w:rsidRDefault="00874D2C" w:rsidP="002D0BB9">
    <w:pPr>
      <w:pStyle w:val="Cabealho"/>
      <w:jc w:val="center"/>
      <w:rPr>
        <w:rFonts w:asciiTheme="minorHAnsi" w:hAnsiTheme="minorHAnsi" w:cstheme="minorHAnsi"/>
        <w:b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825">
      <w:rPr>
        <w:b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9F5F83"/>
    <w:multiLevelType w:val="hybridMultilevel"/>
    <w:tmpl w:val="86723178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27788"/>
    <w:multiLevelType w:val="multilevel"/>
    <w:tmpl w:val="4990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C5573"/>
    <w:multiLevelType w:val="multilevel"/>
    <w:tmpl w:val="C21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5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8"/>
  </w:num>
  <w:num w:numId="10" w16cid:durableId="183372207">
    <w:abstractNumId w:val="18"/>
  </w:num>
  <w:num w:numId="11" w16cid:durableId="238178179">
    <w:abstractNumId w:val="19"/>
  </w:num>
  <w:num w:numId="12" w16cid:durableId="154078737">
    <w:abstractNumId w:val="21"/>
  </w:num>
  <w:num w:numId="13" w16cid:durableId="900673409">
    <w:abstractNumId w:val="29"/>
  </w:num>
  <w:num w:numId="14" w16cid:durableId="1862010559">
    <w:abstractNumId w:val="16"/>
  </w:num>
  <w:num w:numId="15" w16cid:durableId="1642035153">
    <w:abstractNumId w:val="15"/>
  </w:num>
  <w:num w:numId="16" w16cid:durableId="1699158373">
    <w:abstractNumId w:val="20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6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30"/>
  </w:num>
  <w:num w:numId="23" w16cid:durableId="318075074">
    <w:abstractNumId w:val="31"/>
  </w:num>
  <w:num w:numId="24" w16cid:durableId="75127460">
    <w:abstractNumId w:val="23"/>
  </w:num>
  <w:num w:numId="25" w16cid:durableId="240794879">
    <w:abstractNumId w:val="22"/>
  </w:num>
  <w:num w:numId="26" w16cid:durableId="1319503378">
    <w:abstractNumId w:val="14"/>
  </w:num>
  <w:num w:numId="27" w16cid:durableId="241912710">
    <w:abstractNumId w:val="2"/>
  </w:num>
  <w:num w:numId="28" w16cid:durableId="449326548">
    <w:abstractNumId w:val="27"/>
  </w:num>
  <w:num w:numId="29" w16cid:durableId="2069526128">
    <w:abstractNumId w:val="10"/>
  </w:num>
  <w:num w:numId="30" w16cid:durableId="1406297801">
    <w:abstractNumId w:val="24"/>
  </w:num>
  <w:num w:numId="31" w16cid:durableId="1666666117">
    <w:abstractNumId w:val="17"/>
  </w:num>
  <w:num w:numId="32" w16cid:durableId="1766804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1DFE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85067"/>
    <w:rsid w:val="000900D3"/>
    <w:rsid w:val="0009142A"/>
    <w:rsid w:val="00095636"/>
    <w:rsid w:val="0009593D"/>
    <w:rsid w:val="000A031D"/>
    <w:rsid w:val="000B0954"/>
    <w:rsid w:val="000B38A2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94F5C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0BB9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2333"/>
    <w:rsid w:val="00553825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A51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11BD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mpv/antigas_2001/2200-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2023-11-17T16:13:00Z</cp:lastPrinted>
  <dcterms:created xsi:type="dcterms:W3CDTF">2023-11-17T16:41:00Z</dcterms:created>
  <dcterms:modified xsi:type="dcterms:W3CDTF">2023-11-21T13:24:00Z</dcterms:modified>
</cp:coreProperties>
</file>